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42E2" w14:textId="77777777" w:rsidR="003F352D" w:rsidRPr="003F352D" w:rsidRDefault="003F352D" w:rsidP="003F352D">
      <w:r w:rsidRPr="003F352D">
        <w:rPr>
          <w:b/>
          <w:bCs/>
        </w:rPr>
        <w:t>Supplementary Fig.1</w:t>
      </w:r>
      <w:r w:rsidRPr="003F352D">
        <w:t xml:space="preserve"> Differential genes between tumor and normal tissues in GSE15605. </w:t>
      </w:r>
      <w:r w:rsidRPr="003F352D">
        <w:rPr>
          <w:b/>
          <w:bCs/>
        </w:rPr>
        <w:t xml:space="preserve">(A) </w:t>
      </w:r>
      <w:r w:rsidRPr="003F352D">
        <w:t xml:space="preserve">Volcano maps of up- and downregulated genes in GSE15605. </w:t>
      </w:r>
      <w:r w:rsidRPr="003F352D">
        <w:rPr>
          <w:b/>
          <w:bCs/>
        </w:rPr>
        <w:t xml:space="preserve">(B) </w:t>
      </w:r>
      <w:r w:rsidRPr="003F352D">
        <w:t>Top 10 DEGs in up- and downregulated genes</w:t>
      </w:r>
    </w:p>
    <w:p w14:paraId="6AAC9817" w14:textId="77777777" w:rsidR="003F352D" w:rsidRPr="003F352D" w:rsidRDefault="003F352D" w:rsidP="003F352D">
      <w:r w:rsidRPr="003F352D">
        <w:rPr>
          <w:b/>
          <w:bCs/>
        </w:rPr>
        <w:t xml:space="preserve">Supplementary Fig.2 </w:t>
      </w:r>
      <w:r w:rsidRPr="003F352D">
        <w:t xml:space="preserve">Acquisition, enrichment analysis and interaction of centrosome amplification-related </w:t>
      </w:r>
      <w:proofErr w:type="gramStart"/>
      <w:r w:rsidRPr="003F352D">
        <w:t>genes .</w:t>
      </w:r>
      <w:proofErr w:type="gramEnd"/>
      <w:r w:rsidRPr="003F352D">
        <w:t xml:space="preserve"> </w:t>
      </w:r>
      <w:r w:rsidRPr="003F352D">
        <w:rPr>
          <w:b/>
          <w:bCs/>
        </w:rPr>
        <w:t>(A)</w:t>
      </w:r>
      <w:r w:rsidRPr="003F352D">
        <w:t xml:space="preserve"> Two gene sets were intersected to filter overlapping CA-RGs.</w:t>
      </w:r>
      <w:r w:rsidRPr="003F352D">
        <w:rPr>
          <w:b/>
          <w:bCs/>
        </w:rPr>
        <w:t xml:space="preserve"> (B-D)</w:t>
      </w:r>
      <w:r w:rsidRPr="003F352D">
        <w:t xml:space="preserve"> Gene Ontology (GO) functional and </w:t>
      </w:r>
      <w:r w:rsidRPr="003F352D">
        <w:rPr>
          <w:b/>
          <w:bCs/>
        </w:rPr>
        <w:t>(E)</w:t>
      </w:r>
      <w:r w:rsidRPr="003F352D">
        <w:t xml:space="preserve"> Kyoto Encyclopedia of Genes and Genomes (KEGG) enrichment analysis of selected CA-RGs. </w:t>
      </w:r>
      <w:r w:rsidRPr="003F352D">
        <w:rPr>
          <w:b/>
          <w:bCs/>
        </w:rPr>
        <w:t>(F)</w:t>
      </w:r>
      <w:r w:rsidRPr="003F352D">
        <w:t xml:space="preserve"> PPI network of selected CA-RGs.</w:t>
      </w:r>
    </w:p>
    <w:p w14:paraId="7A5388D6" w14:textId="77777777" w:rsidR="003F352D" w:rsidRPr="003F352D" w:rsidRDefault="003F352D" w:rsidP="003F352D">
      <w:r w:rsidRPr="003F352D">
        <w:rPr>
          <w:b/>
          <w:bCs/>
        </w:rPr>
        <w:t xml:space="preserve">Supplementary Fig.3 </w:t>
      </w:r>
      <w:r w:rsidRPr="003F352D">
        <w:t>Correlation with clinicopathological staging characteristics and survival rate of SKCM patients.</w:t>
      </w:r>
      <w:r w:rsidRPr="003F352D">
        <w:rPr>
          <w:b/>
          <w:bCs/>
        </w:rPr>
        <w:t xml:space="preserve"> (A-F) </w:t>
      </w:r>
      <w:r w:rsidRPr="003F352D">
        <w:t xml:space="preserve">The correlation of risk score with clinicopathological staging characteristics. </w:t>
      </w:r>
      <w:r w:rsidRPr="003F352D">
        <w:rPr>
          <w:b/>
          <w:bCs/>
        </w:rPr>
        <w:t>(G, H)</w:t>
      </w:r>
      <w:r w:rsidRPr="003F352D">
        <w:t xml:space="preserve"> Survival analysis in high- and low risk score by T stages.</w:t>
      </w:r>
    </w:p>
    <w:p w14:paraId="71B57BD1" w14:textId="77777777" w:rsidR="003F352D" w:rsidRPr="003F352D" w:rsidRDefault="003F352D" w:rsidP="003F352D">
      <w:r w:rsidRPr="003F352D">
        <w:rPr>
          <w:b/>
          <w:bCs/>
        </w:rPr>
        <w:t>Supplementary Fig.4</w:t>
      </w:r>
      <w:r w:rsidRPr="003F352D">
        <w:t xml:space="preserve"> GSEA analysis and GSVA analysis.</w:t>
      </w:r>
      <w:r w:rsidRPr="003F352D">
        <w:rPr>
          <w:b/>
          <w:bCs/>
        </w:rPr>
        <w:t xml:space="preserve"> (A-D)</w:t>
      </w:r>
      <w:r w:rsidRPr="003F352D">
        <w:t xml:space="preserve"> Top five significantly enriched pathways of prognostic genes respectively in KEGG gene sets in TCGA-SKCM. </w:t>
      </w:r>
      <w:r w:rsidRPr="003F352D">
        <w:rPr>
          <w:b/>
          <w:bCs/>
        </w:rPr>
        <w:t>(E)</w:t>
      </w:r>
      <w:r w:rsidRPr="003F352D">
        <w:t xml:space="preserve"> GSVA analysis of high- and low- risk group.</w:t>
      </w:r>
    </w:p>
    <w:p w14:paraId="5A5BE75A" w14:textId="77777777" w:rsidR="003F352D" w:rsidRPr="003F352D" w:rsidRDefault="003F352D" w:rsidP="003F352D">
      <w:r w:rsidRPr="003F352D">
        <w:rPr>
          <w:b/>
          <w:bCs/>
        </w:rPr>
        <w:t>Supplementary Fig.5</w:t>
      </w:r>
      <w:r w:rsidRPr="003F352D">
        <w:t xml:space="preserve"> Immune infiltration patterns of tumor microenvironment (TME). </w:t>
      </w:r>
      <w:r w:rsidRPr="003F352D">
        <w:rPr>
          <w:b/>
          <w:bCs/>
        </w:rPr>
        <w:t xml:space="preserve">(A) </w:t>
      </w:r>
      <w:r w:rsidRPr="003F352D">
        <w:t xml:space="preserve">CTLA4 and PD1 expression between high- and low-CA-related signature risk groups. </w:t>
      </w:r>
      <w:r w:rsidRPr="003F352D">
        <w:rPr>
          <w:b/>
          <w:bCs/>
        </w:rPr>
        <w:t>(B)</w:t>
      </w:r>
      <w:r w:rsidRPr="003F352D">
        <w:t xml:space="preserve"> Immune checkpoint signature genes expression between high- and low-CA-related signature risk groups.</w:t>
      </w:r>
    </w:p>
    <w:p w14:paraId="12C74D3A" w14:textId="77777777" w:rsidR="003F352D" w:rsidRPr="003F352D" w:rsidRDefault="003F352D" w:rsidP="003F352D">
      <w:r w:rsidRPr="003F352D">
        <w:rPr>
          <w:b/>
          <w:bCs/>
        </w:rPr>
        <w:t>Supplementary Fig.6</w:t>
      </w:r>
      <w:r w:rsidRPr="003F352D">
        <w:t xml:space="preserve"> The prediction of immunotherapy response and the selection of sensitive chemotherapy drugs.</w:t>
      </w:r>
    </w:p>
    <w:p w14:paraId="02EA6245" w14:textId="77777777" w:rsidR="003F352D" w:rsidRPr="003F352D" w:rsidRDefault="003F352D" w:rsidP="003F352D">
      <w:r w:rsidRPr="003F352D">
        <w:rPr>
          <w:b/>
          <w:bCs/>
        </w:rPr>
        <w:t>Supplementary Fig.7</w:t>
      </w:r>
      <w:r w:rsidRPr="003F352D">
        <w:t xml:space="preserve"> Comparison of somatic mutational landscapes between two groups. Mutational landscape of high-risk group </w:t>
      </w:r>
      <w:r w:rsidRPr="003F352D">
        <w:rPr>
          <w:b/>
          <w:bCs/>
        </w:rPr>
        <w:t>(A)</w:t>
      </w:r>
      <w:r w:rsidRPr="003F352D">
        <w:t xml:space="preserve"> and low-risk group </w:t>
      </w:r>
      <w:r w:rsidRPr="003F352D">
        <w:rPr>
          <w:b/>
          <w:bCs/>
        </w:rPr>
        <w:t>(B)</w:t>
      </w:r>
      <w:r w:rsidRPr="003F352D">
        <w:t>.</w:t>
      </w:r>
    </w:p>
    <w:p w14:paraId="74C8AD61" w14:textId="77777777" w:rsidR="003F352D" w:rsidRPr="003F352D" w:rsidRDefault="003F352D" w:rsidP="003F352D">
      <w:r w:rsidRPr="003F352D">
        <w:rPr>
          <w:b/>
          <w:bCs/>
        </w:rPr>
        <w:t>Supplementary Fig.8</w:t>
      </w:r>
      <w:r w:rsidRPr="003F352D">
        <w:t xml:space="preserve"> Regulatory networks of prognostic genes. </w:t>
      </w:r>
      <w:r w:rsidRPr="003F352D">
        <w:rPr>
          <w:b/>
          <w:bCs/>
        </w:rPr>
        <w:t>(A)</w:t>
      </w:r>
      <w:r w:rsidRPr="003F352D">
        <w:t xml:space="preserve"> Interaction network of transcription factors and prognostic genes. </w:t>
      </w:r>
      <w:r w:rsidRPr="003F352D">
        <w:rPr>
          <w:b/>
          <w:bCs/>
        </w:rPr>
        <w:t>(B)</w:t>
      </w:r>
      <w:r w:rsidRPr="003F352D">
        <w:t xml:space="preserve"> Interaction network of prognostic genes and other genes.</w:t>
      </w:r>
    </w:p>
    <w:p w14:paraId="51B06AE9" w14:textId="77777777" w:rsidR="003F352D" w:rsidRPr="003F352D" w:rsidRDefault="003F352D" w:rsidP="003F352D">
      <w:r w:rsidRPr="003F352D">
        <w:rPr>
          <w:b/>
          <w:bCs/>
        </w:rPr>
        <w:t>Supplementary Fig.9</w:t>
      </w:r>
      <w:r w:rsidRPr="003F352D">
        <w:t xml:space="preserve"> Quality control of single-cell RNA sequencing. </w:t>
      </w:r>
      <w:r w:rsidRPr="003F352D">
        <w:rPr>
          <w:b/>
          <w:bCs/>
        </w:rPr>
        <w:t xml:space="preserve">(A) </w:t>
      </w:r>
      <w:r w:rsidRPr="003F352D">
        <w:t>Following the quality control standard, 25179 cells were included in the analysis and plotted to display the number of RNA features (</w:t>
      </w:r>
      <w:proofErr w:type="spellStart"/>
      <w:r w:rsidRPr="003F352D">
        <w:t>nFeature_RNA</w:t>
      </w:r>
      <w:proofErr w:type="spellEnd"/>
      <w:r w:rsidRPr="003F352D">
        <w:t>), absolute UMI counts (</w:t>
      </w:r>
      <w:proofErr w:type="spellStart"/>
      <w:r w:rsidRPr="003F352D">
        <w:t>nCount_RNA</w:t>
      </w:r>
      <w:proofErr w:type="spellEnd"/>
      <w:r w:rsidRPr="003F352D">
        <w:t>) and mitochondrial proportion.</w:t>
      </w:r>
      <w:r w:rsidRPr="003F352D">
        <w:rPr>
          <w:b/>
          <w:bCs/>
        </w:rPr>
        <w:t xml:space="preserve"> (B)</w:t>
      </w:r>
      <w:r w:rsidRPr="003F352D">
        <w:t xml:space="preserve"> The volcano diagram showed 17163 corresponding genes throughout all cells from SKCMs. The red dots represent highly variable genes, and the black dots represent non-variable genes. The top 10 most variable genes are marked in the plot. </w:t>
      </w:r>
      <w:r w:rsidRPr="003F352D">
        <w:rPr>
          <w:b/>
          <w:bCs/>
        </w:rPr>
        <w:t xml:space="preserve">(C) </w:t>
      </w:r>
      <w:r w:rsidRPr="003F352D">
        <w:t xml:space="preserve">Reduction criteria determined by </w:t>
      </w:r>
      <w:proofErr w:type="spellStart"/>
      <w:r w:rsidRPr="003F352D">
        <w:t>JackStraw</w:t>
      </w:r>
      <w:proofErr w:type="spellEnd"/>
      <w:r w:rsidRPr="003F352D">
        <w:t xml:space="preserve"> plot and elbow plot.</w:t>
      </w:r>
    </w:p>
    <w:p w14:paraId="7802432F" w14:textId="77777777" w:rsidR="003F352D" w:rsidRPr="003F352D" w:rsidRDefault="003F352D" w:rsidP="003F352D">
      <w:r w:rsidRPr="003F352D">
        <w:rPr>
          <w:b/>
          <w:bCs/>
        </w:rPr>
        <w:t xml:space="preserve">Supplementary Fig.10 </w:t>
      </w:r>
      <w:r w:rsidRPr="003F352D">
        <w:t xml:space="preserve">Expression level of prognostic genes in transcriptomic and </w:t>
      </w:r>
      <w:r w:rsidRPr="003F352D">
        <w:lastRenderedPageBreak/>
        <w:t xml:space="preserve">protein levels respectively. </w:t>
      </w:r>
      <w:r w:rsidRPr="003F352D">
        <w:rPr>
          <w:b/>
          <w:bCs/>
        </w:rPr>
        <w:t>(A)</w:t>
      </w:r>
      <w:r w:rsidRPr="003F352D">
        <w:t xml:space="preserve"> Box plot of prognostic genes expression in GSE15605. </w:t>
      </w:r>
      <w:r w:rsidRPr="003F352D">
        <w:rPr>
          <w:b/>
          <w:bCs/>
        </w:rPr>
        <w:t>(B)</w:t>
      </w:r>
      <w:r w:rsidRPr="003F352D">
        <w:t xml:space="preserve"> Immunofluorescence histochemical profiles of prognostic genes in normal melanocytes and in melanoma cells.</w:t>
      </w:r>
    </w:p>
    <w:p w14:paraId="776F9239" w14:textId="77777777" w:rsidR="0000409D" w:rsidRPr="003F352D" w:rsidRDefault="0000409D">
      <w:pPr>
        <w:rPr>
          <w:rFonts w:hint="eastAsia"/>
        </w:rPr>
      </w:pPr>
    </w:p>
    <w:sectPr w:rsidR="0000409D" w:rsidRPr="003F3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B702" w14:textId="77777777" w:rsidR="00547789" w:rsidRDefault="00547789" w:rsidP="003F352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B412124" w14:textId="77777777" w:rsidR="00547789" w:rsidRDefault="00547789" w:rsidP="003F352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77C8" w14:textId="77777777" w:rsidR="00547789" w:rsidRDefault="00547789" w:rsidP="003F352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0DE3BAD" w14:textId="77777777" w:rsidR="00547789" w:rsidRDefault="00547789" w:rsidP="003F352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5A0"/>
    <w:rsid w:val="0000409D"/>
    <w:rsid w:val="003F352D"/>
    <w:rsid w:val="004935A0"/>
    <w:rsid w:val="00547789"/>
    <w:rsid w:val="00AE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29C243E-2EEB-4E73-92CC-DDABC2A6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35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5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35A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5A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35A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35A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35A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35A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35A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3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3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35A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35A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35A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35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35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35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35A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3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35A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35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3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35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35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35A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3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35A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935A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F352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F352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F352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F35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yukang que</dc:creator>
  <cp:keywords/>
  <dc:description/>
  <cp:lastModifiedBy>yukang que</cp:lastModifiedBy>
  <cp:revision>2</cp:revision>
  <dcterms:created xsi:type="dcterms:W3CDTF">2025-05-15T18:33:00Z</dcterms:created>
  <dcterms:modified xsi:type="dcterms:W3CDTF">2025-05-15T18:33:00Z</dcterms:modified>
</cp:coreProperties>
</file>